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94A71" w14:textId="60BA37DB" w:rsidR="00A90D60" w:rsidRPr="0042245A" w:rsidRDefault="000C560B" w:rsidP="002368AE">
      <w:pPr>
        <w:keepNext/>
        <w:keepLines/>
        <w:spacing w:before="120" w:after="0" w:line="240" w:lineRule="auto"/>
        <w:ind w:left="5103"/>
        <w:jc w:val="right"/>
        <w:outlineLvl w:val="1"/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</w:pPr>
      <w:bookmarkStart w:id="0" w:name="_Ref39484039"/>
      <w:bookmarkStart w:id="1" w:name="_Ref40278562"/>
      <w:bookmarkStart w:id="2" w:name="_Toc126333945"/>
      <w:r w:rsidRPr="0042245A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>Specialiųjų p</w:t>
      </w:r>
      <w:r w:rsidR="00A90D60" w:rsidRPr="0042245A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>irkimo sąlygų 7 priedas „Pasiūlymų vertinimo kriterijai ir sąlygos“</w:t>
      </w:r>
      <w:bookmarkEnd w:id="0"/>
      <w:bookmarkEnd w:id="1"/>
      <w:bookmarkEnd w:id="2"/>
    </w:p>
    <w:p w14:paraId="0CD99444" w14:textId="77777777" w:rsidR="00A90D60" w:rsidRPr="0042245A" w:rsidRDefault="00A90D60" w:rsidP="00A90D60">
      <w:pPr>
        <w:spacing w:line="276" w:lineRule="auto"/>
        <w:jc w:val="center"/>
        <w:rPr>
          <w:rFonts w:eastAsia="Calibri" w:cstheme="minorHAnsi"/>
          <w:b/>
          <w:color w:val="000000" w:themeColor="text1"/>
          <w:kern w:val="0"/>
          <w:sz w:val="21"/>
          <w:szCs w:val="21"/>
          <w:lang w:eastAsia="lt-LT"/>
          <w14:ligatures w14:val="none"/>
        </w:rPr>
      </w:pPr>
    </w:p>
    <w:p w14:paraId="1219A58F" w14:textId="77777777" w:rsidR="00A90D60" w:rsidRPr="0042245A" w:rsidRDefault="00A90D60" w:rsidP="00A90D60">
      <w:pPr>
        <w:numPr>
          <w:ilvl w:val="1"/>
          <w:numId w:val="0"/>
        </w:numPr>
        <w:spacing w:after="240" w:line="276" w:lineRule="auto"/>
        <w:jc w:val="center"/>
        <w:rPr>
          <w:rFonts w:eastAsia="Calibri" w:cstheme="minorHAnsi"/>
          <w:b/>
          <w:bCs/>
          <w:caps/>
          <w:smallCaps/>
          <w:color w:val="000000" w:themeColor="text1"/>
          <w:spacing w:val="20"/>
          <w:kern w:val="0"/>
          <w:sz w:val="24"/>
          <w:szCs w:val="24"/>
          <w:lang w:eastAsia="lt-LT"/>
          <w14:ligatures w14:val="none"/>
        </w:rPr>
      </w:pPr>
      <w:r w:rsidRPr="0042245A">
        <w:rPr>
          <w:rFonts w:eastAsia="Calibri" w:cstheme="minorHAnsi"/>
          <w:b/>
          <w:bCs/>
          <w:caps/>
          <w:color w:val="000000" w:themeColor="text1"/>
          <w:spacing w:val="20"/>
          <w:kern w:val="0"/>
          <w:sz w:val="24"/>
          <w:szCs w:val="24"/>
          <w:lang w:eastAsia="lt-LT"/>
          <w14:ligatures w14:val="none"/>
        </w:rPr>
        <w:t>PASIŪLYMŲ VERTINIMO KRITERIJAI ir Sąlygos</w:t>
      </w:r>
    </w:p>
    <w:p w14:paraId="49D514D1" w14:textId="79BD8576" w:rsidR="00A90D60" w:rsidRPr="0042245A" w:rsidRDefault="008A4BE5" w:rsidP="0042245A">
      <w:pPr>
        <w:spacing w:after="120" w:line="276" w:lineRule="auto"/>
        <w:jc w:val="center"/>
        <w:rPr>
          <w:rFonts w:eastAsia="Times New Roman" w:cstheme="minorHAnsi"/>
          <w:color w:val="000000" w:themeColor="text1"/>
          <w:kern w:val="0"/>
          <w:sz w:val="24"/>
          <w:szCs w:val="24"/>
          <w14:ligatures w14:val="none"/>
        </w:rPr>
      </w:pPr>
      <w:r>
        <w:rPr>
          <w:rFonts w:eastAsia="Calibri" w:cstheme="minorHAnsi"/>
          <w:b/>
          <w:bCs/>
          <w:kern w:val="0"/>
          <w:sz w:val="24"/>
          <w:szCs w:val="24"/>
          <w:lang w:eastAsia="lt-LT"/>
          <w14:ligatures w14:val="none"/>
        </w:rPr>
        <w:t xml:space="preserve">ROKIŠKIO </w:t>
      </w:r>
      <w:r w:rsidR="00CD79C9" w:rsidRPr="0042245A">
        <w:rPr>
          <w:rFonts w:eastAsia="Calibri" w:cstheme="minorHAnsi"/>
          <w:b/>
          <w:bCs/>
          <w:kern w:val="0"/>
          <w:sz w:val="24"/>
          <w:szCs w:val="24"/>
          <w:lang w:eastAsia="lt-LT"/>
          <w14:ligatures w14:val="none"/>
        </w:rPr>
        <w:t xml:space="preserve">R. </w:t>
      </w:r>
      <w:r>
        <w:rPr>
          <w:rFonts w:eastAsia="Calibri" w:cstheme="minorHAnsi"/>
          <w:b/>
          <w:bCs/>
          <w:kern w:val="0"/>
          <w:sz w:val="24"/>
          <w:szCs w:val="24"/>
          <w:lang w:eastAsia="lt-LT"/>
          <w14:ligatures w14:val="none"/>
        </w:rPr>
        <w:t>KAMAJŲ</w:t>
      </w:r>
      <w:r w:rsidR="00CD79C9" w:rsidRPr="0042245A">
        <w:rPr>
          <w:rFonts w:eastAsia="Calibri" w:cstheme="minorHAnsi"/>
          <w:b/>
          <w:bCs/>
          <w:kern w:val="0"/>
          <w:sz w:val="24"/>
          <w:szCs w:val="24"/>
          <w:lang w:eastAsia="lt-LT"/>
          <w14:ligatures w14:val="none"/>
        </w:rPr>
        <w:t xml:space="preserve"> KATILINĖS REKONSTRAVIMO DARBAI</w:t>
      </w:r>
    </w:p>
    <w:p w14:paraId="5B699744" w14:textId="77777777" w:rsidR="00A90D60" w:rsidRPr="0042245A" w:rsidRDefault="00A90D60" w:rsidP="00A90D60">
      <w:pPr>
        <w:pStyle w:val="NoSpacing"/>
        <w:jc w:val="center"/>
        <w:rPr>
          <w:rFonts w:eastAsia="Times New Roman" w:cstheme="minorHAnsi"/>
          <w:color w:val="7030A0"/>
          <w:sz w:val="21"/>
          <w:szCs w:val="21"/>
        </w:rPr>
      </w:pPr>
    </w:p>
    <w:p w14:paraId="09DA00D1" w14:textId="77777777" w:rsidR="00A90D60" w:rsidRPr="0042245A" w:rsidRDefault="00A90D60" w:rsidP="00A90D60">
      <w:pPr>
        <w:spacing w:after="0" w:line="240" w:lineRule="auto"/>
        <w:ind w:firstLine="284"/>
        <w:contextualSpacing/>
        <w:jc w:val="both"/>
        <w:rPr>
          <w:rFonts w:eastAsia="Calibri" w:cstheme="minorHAnsi"/>
          <w:kern w:val="0"/>
          <w:sz w:val="21"/>
          <w:szCs w:val="21"/>
          <w14:ligatures w14:val="none"/>
        </w:rPr>
      </w:pPr>
      <w:r w:rsidRPr="0042245A">
        <w:rPr>
          <w:rFonts w:eastAsia="Calibri" w:cstheme="minorHAnsi"/>
          <w:kern w:val="0"/>
          <w:sz w:val="21"/>
          <w:szCs w:val="21"/>
          <w14:ligatures w14:val="none"/>
        </w:rPr>
        <w:t xml:space="preserve">Šiame pirkime ekonomiškai naudingiausias pasiūlymas bus išrenkamas pagal kainos ir kokybės santykį. </w:t>
      </w:r>
    </w:p>
    <w:p w14:paraId="0B5E1105" w14:textId="77777777" w:rsidR="00A90D60" w:rsidRPr="0042245A" w:rsidRDefault="00A90D60" w:rsidP="00A90D60">
      <w:pPr>
        <w:suppressAutoHyphens/>
        <w:spacing w:after="0" w:line="240" w:lineRule="auto"/>
        <w:ind w:firstLine="567"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</w:p>
    <w:p w14:paraId="32BF9E0C" w14:textId="5DF1DFB2" w:rsidR="00A90D60" w:rsidRPr="0042245A" w:rsidRDefault="00670304" w:rsidP="00A90D60">
      <w:pPr>
        <w:keepNext/>
        <w:tabs>
          <w:tab w:val="left" w:pos="1418"/>
        </w:tabs>
        <w:suppressAutoHyphens/>
        <w:spacing w:after="0" w:line="240" w:lineRule="auto"/>
        <w:outlineLvl w:val="1"/>
        <w:rPr>
          <w:rFonts w:eastAsia="Times New Roman" w:cstheme="minorHAnsi"/>
          <w:b/>
          <w:kern w:val="0"/>
          <w:sz w:val="21"/>
          <w:szCs w:val="21"/>
          <w14:ligatures w14:val="none"/>
        </w:rPr>
      </w:pPr>
      <w:r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Tiekėjas</w:t>
      </w:r>
      <w:r w:rsidR="00A90D60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 xml:space="preserve"> vertinimo kriterij</w:t>
      </w:r>
      <w:r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us</w:t>
      </w:r>
      <w:r w:rsidR="00A90D60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 xml:space="preserve"> </w:t>
      </w:r>
      <w:r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deklaruoja</w:t>
      </w:r>
      <w:r w:rsidR="00A90D60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 xml:space="preserve"> Pasiūlyme (</w:t>
      </w:r>
      <w:r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 xml:space="preserve">specialiųjų </w:t>
      </w:r>
      <w:r w:rsidR="00A90D60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pirkimo</w:t>
      </w:r>
      <w:r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 xml:space="preserve"> sąlygų</w:t>
      </w:r>
      <w:r w:rsidR="00A90D60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 xml:space="preserve"> </w:t>
      </w:r>
      <w:r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6</w:t>
      </w:r>
      <w:r w:rsidR="00A90D60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 xml:space="preserve"> pried</w:t>
      </w:r>
      <w:r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e</w:t>
      </w:r>
      <w:r w:rsidR="00A90D60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):</w:t>
      </w:r>
    </w:p>
    <w:p w14:paraId="7C1EF2CB" w14:textId="77777777" w:rsidR="00A90D60" w:rsidRPr="0042245A" w:rsidRDefault="00A90D60" w:rsidP="00A90D60">
      <w:pPr>
        <w:suppressAutoHyphens/>
        <w:spacing w:after="0" w:line="240" w:lineRule="auto"/>
        <w:jc w:val="both"/>
        <w:rPr>
          <w:rFonts w:eastAsia="Times New Roman" w:cstheme="minorHAnsi"/>
          <w:b/>
          <w:kern w:val="0"/>
          <w:sz w:val="21"/>
          <w:szCs w:val="21"/>
          <w14:ligatures w14:val="none"/>
        </w:rPr>
      </w:pPr>
    </w:p>
    <w:tbl>
      <w:tblPr>
        <w:tblStyle w:val="Lentelstinklelis11"/>
        <w:tblW w:w="8962" w:type="dxa"/>
        <w:tblInd w:w="279" w:type="dxa"/>
        <w:tblLook w:val="04A0" w:firstRow="1" w:lastRow="0" w:firstColumn="1" w:lastColumn="0" w:noHBand="0" w:noVBand="1"/>
      </w:tblPr>
      <w:tblGrid>
        <w:gridCol w:w="528"/>
        <w:gridCol w:w="6005"/>
        <w:gridCol w:w="2429"/>
      </w:tblGrid>
      <w:tr w:rsidR="00A90D60" w:rsidRPr="0042245A" w14:paraId="02BF0124" w14:textId="77777777" w:rsidTr="00CD79C9">
        <w:tc>
          <w:tcPr>
            <w:tcW w:w="528" w:type="dxa"/>
          </w:tcPr>
          <w:p w14:paraId="4A555E0A" w14:textId="77777777" w:rsidR="00A90D60" w:rsidRPr="0042245A" w:rsidRDefault="00A90D60" w:rsidP="00773FAE">
            <w:pPr>
              <w:suppressAutoHyphens/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42245A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Eil Nr.</w:t>
            </w:r>
          </w:p>
        </w:tc>
        <w:tc>
          <w:tcPr>
            <w:tcW w:w="6005" w:type="dxa"/>
            <w:vAlign w:val="center"/>
          </w:tcPr>
          <w:p w14:paraId="48058F0F" w14:textId="77777777" w:rsidR="00A90D60" w:rsidRPr="0042245A" w:rsidRDefault="00A90D60" w:rsidP="00773FAE">
            <w:pPr>
              <w:suppressAutoHyphens/>
              <w:ind w:firstLine="567"/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42245A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Vertinimo kriterijai</w:t>
            </w:r>
          </w:p>
        </w:tc>
        <w:tc>
          <w:tcPr>
            <w:tcW w:w="2429" w:type="dxa"/>
            <w:vAlign w:val="center"/>
          </w:tcPr>
          <w:p w14:paraId="184DFBBB" w14:textId="77777777" w:rsidR="00A90D60" w:rsidRPr="0042245A" w:rsidRDefault="00A90D60" w:rsidP="00773FAE">
            <w:pPr>
              <w:suppressAutoHyphens/>
              <w:ind w:firstLine="567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42245A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Kriterijaus lyginamasis svoris</w:t>
            </w:r>
          </w:p>
        </w:tc>
      </w:tr>
      <w:tr w:rsidR="00A90D60" w:rsidRPr="0042245A" w14:paraId="561A637C" w14:textId="77777777" w:rsidTr="00CD79C9">
        <w:tc>
          <w:tcPr>
            <w:tcW w:w="528" w:type="dxa"/>
          </w:tcPr>
          <w:p w14:paraId="749B6B23" w14:textId="77777777" w:rsidR="00A90D60" w:rsidRPr="0042245A" w:rsidRDefault="00A90D60" w:rsidP="00A90D60">
            <w:pPr>
              <w:suppressAutoHyphens/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1.</w:t>
            </w:r>
          </w:p>
        </w:tc>
        <w:tc>
          <w:tcPr>
            <w:tcW w:w="6005" w:type="dxa"/>
          </w:tcPr>
          <w:p w14:paraId="096A0C3D" w14:textId="21AC9D7A" w:rsidR="00A90D60" w:rsidRPr="0042245A" w:rsidRDefault="00A90D60" w:rsidP="00A90D60">
            <w:pPr>
              <w:suppressAutoHyphens/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Kaina</w:t>
            </w:r>
            <w:r w:rsidR="003017BE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(eur)</w:t>
            </w:r>
            <w:r w:rsidRPr="0042245A">
              <w:rPr>
                <w:rFonts w:asciiTheme="minorHAnsi" w:eastAsia="Calibri" w:hAnsiTheme="minorHAnsi" w:cstheme="minorHAnsi"/>
                <w:i/>
                <w:sz w:val="21"/>
                <w:szCs w:val="21"/>
              </w:rPr>
              <w:t xml:space="preserve">, </w:t>
            </w:r>
            <w:r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C</w:t>
            </w:r>
          </w:p>
        </w:tc>
        <w:tc>
          <w:tcPr>
            <w:tcW w:w="2429" w:type="dxa"/>
          </w:tcPr>
          <w:p w14:paraId="44644791" w14:textId="60AA92B8" w:rsidR="00A90D60" w:rsidRPr="0042245A" w:rsidRDefault="00A90D60" w:rsidP="0042245A">
            <w:pPr>
              <w:suppressAutoHyphens/>
              <w:ind w:firstLine="17"/>
              <w:jc w:val="center"/>
              <w:rPr>
                <w:rFonts w:asciiTheme="minorHAnsi" w:eastAsia="Calibri" w:hAnsiTheme="minorHAnsi" w:cstheme="minorHAnsi"/>
                <w:color w:val="C00000"/>
                <w:sz w:val="21"/>
                <w:szCs w:val="21"/>
              </w:rPr>
            </w:pPr>
            <w:r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X = </w:t>
            </w:r>
            <w:r w:rsidR="00464AED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9</w:t>
            </w:r>
            <w:r w:rsidR="00CD79C9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5</w:t>
            </w:r>
          </w:p>
        </w:tc>
      </w:tr>
      <w:tr w:rsidR="00A90D60" w:rsidRPr="0042245A" w14:paraId="7F9E339D" w14:textId="77777777" w:rsidTr="00CD79C9">
        <w:tc>
          <w:tcPr>
            <w:tcW w:w="528" w:type="dxa"/>
          </w:tcPr>
          <w:p w14:paraId="5ECF2C3F" w14:textId="4DCA3E09" w:rsidR="00A90D60" w:rsidRPr="0042245A" w:rsidRDefault="00F035B2" w:rsidP="00A90D60">
            <w:pPr>
              <w:suppressAutoHyphens/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2</w:t>
            </w:r>
            <w:r w:rsidR="00A90D60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6005" w:type="dxa"/>
          </w:tcPr>
          <w:p w14:paraId="4CE16466" w14:textId="728E1E64" w:rsidR="00A90D60" w:rsidRPr="0042245A" w:rsidRDefault="0055477C" w:rsidP="00A90D60">
            <w:pPr>
              <w:suppressAutoHyphens/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Į</w:t>
            </w:r>
            <w:r w:rsidR="00DD2B58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renginių</w:t>
            </w:r>
            <w:r w:rsidR="00A90D60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garantinio termino trukmė </w:t>
            </w:r>
            <w:r w:rsidR="003017BE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(</w:t>
            </w:r>
            <w:r w:rsidR="00A90D60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mėn</w:t>
            </w:r>
            <w:r w:rsidR="003017BE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.)</w:t>
            </w:r>
            <w:r w:rsidR="00A90D60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, G</w:t>
            </w:r>
          </w:p>
        </w:tc>
        <w:tc>
          <w:tcPr>
            <w:tcW w:w="2429" w:type="dxa"/>
          </w:tcPr>
          <w:p w14:paraId="7DD56C07" w14:textId="18C1DF92" w:rsidR="00A90D60" w:rsidRPr="0042245A" w:rsidRDefault="00A90D60" w:rsidP="0042245A">
            <w:pPr>
              <w:suppressAutoHyphens/>
              <w:jc w:val="center"/>
              <w:rPr>
                <w:rFonts w:asciiTheme="minorHAnsi" w:eastAsia="Calibri" w:hAnsiTheme="minorHAnsi" w:cstheme="minorHAnsi"/>
                <w:sz w:val="21"/>
                <w:szCs w:val="21"/>
                <w:vertAlign w:val="subscript"/>
              </w:rPr>
            </w:pPr>
            <w:r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Y</w:t>
            </w:r>
            <w:r w:rsidR="00773FAE" w:rsidRPr="0042245A">
              <w:rPr>
                <w:rFonts w:asciiTheme="minorHAnsi" w:eastAsia="Calibri" w:hAnsiTheme="minorHAnsi" w:cstheme="minorHAnsi"/>
                <w:sz w:val="21"/>
                <w:szCs w:val="21"/>
                <w:vertAlign w:val="subscript"/>
              </w:rPr>
              <w:t>1</w:t>
            </w:r>
            <w:r w:rsidRPr="0042245A">
              <w:rPr>
                <w:rFonts w:asciiTheme="minorHAnsi" w:eastAsia="Calibri" w:hAnsiTheme="minorHAnsi" w:cstheme="minorHAnsi"/>
                <w:sz w:val="21"/>
                <w:szCs w:val="21"/>
                <w:vertAlign w:val="subscript"/>
              </w:rPr>
              <w:t xml:space="preserve"> </w:t>
            </w:r>
            <w:r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= </w:t>
            </w:r>
            <w:r w:rsidR="002F2B17" w:rsidRPr="0042245A">
              <w:rPr>
                <w:rFonts w:asciiTheme="minorHAnsi" w:eastAsia="Calibri" w:hAnsiTheme="minorHAnsi" w:cstheme="minorHAnsi"/>
                <w:sz w:val="21"/>
                <w:szCs w:val="21"/>
              </w:rPr>
              <w:t>5</w:t>
            </w:r>
          </w:p>
        </w:tc>
      </w:tr>
    </w:tbl>
    <w:p w14:paraId="732EFD9A" w14:textId="77777777" w:rsidR="00A90D60" w:rsidRPr="0042245A" w:rsidRDefault="00A90D60" w:rsidP="00A90D60">
      <w:pPr>
        <w:suppressAutoHyphens/>
        <w:spacing w:after="0" w:line="240" w:lineRule="auto"/>
        <w:jc w:val="both"/>
        <w:rPr>
          <w:rFonts w:eastAsia="Times New Roman" w:cstheme="minorHAnsi"/>
          <w:i/>
          <w:kern w:val="0"/>
          <w:sz w:val="21"/>
          <w:szCs w:val="21"/>
          <w14:ligatures w14:val="none"/>
        </w:rPr>
      </w:pPr>
    </w:p>
    <w:tbl>
      <w:tblPr>
        <w:tblStyle w:val="Lentelstinklelis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231"/>
      </w:tblGrid>
      <w:tr w:rsidR="00A90D60" w:rsidRPr="0042245A" w14:paraId="039AE79E" w14:textId="77777777" w:rsidTr="00BD0403">
        <w:tc>
          <w:tcPr>
            <w:tcW w:w="3397" w:type="dxa"/>
            <w:vAlign w:val="center"/>
          </w:tcPr>
          <w:p w14:paraId="6CC3E89D" w14:textId="77777777" w:rsidR="00A90D60" w:rsidRPr="0042245A" w:rsidRDefault="00A90D60" w:rsidP="00A90D60">
            <w:pPr>
              <w:suppressAutoHyphens/>
              <w:jc w:val="center"/>
              <w:rPr>
                <w:rFonts w:eastAsia="Times New Roman" w:cstheme="minorHAnsi"/>
                <w:i/>
                <w:sz w:val="21"/>
                <w:szCs w:val="21"/>
              </w:rPr>
            </w:pPr>
            <w:r w:rsidRPr="0042245A">
              <w:rPr>
                <w:rFonts w:eastAsia="Times New Roman" w:cstheme="minorHAnsi"/>
                <w:b/>
                <w:kern w:val="2"/>
                <w:position w:val="-6"/>
                <w:sz w:val="21"/>
                <w:szCs w:val="21"/>
                <w14:ligatures w14:val="standardContextual"/>
              </w:rPr>
              <w:object w:dxaOrig="1020" w:dyaOrig="279" w14:anchorId="4DF578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14.4pt" o:ole="" fillcolor="window">
                  <v:imagedata r:id="rId5" o:title=""/>
                </v:shape>
                <o:OLEObject Type="Embed" ProgID="Equation.3" ShapeID="_x0000_i1025" DrawAspect="Content" ObjectID="_1802609780" r:id="rId6"/>
              </w:object>
            </w:r>
          </w:p>
        </w:tc>
        <w:tc>
          <w:tcPr>
            <w:tcW w:w="6231" w:type="dxa"/>
          </w:tcPr>
          <w:p w14:paraId="32BFCFFD" w14:textId="77777777" w:rsidR="00A90D60" w:rsidRPr="0042245A" w:rsidRDefault="00A90D60" w:rsidP="00A90D60">
            <w:pPr>
              <w:keepNext/>
              <w:numPr>
                <w:ilvl w:val="1"/>
                <w:numId w:val="1"/>
              </w:numPr>
              <w:tabs>
                <w:tab w:val="left" w:pos="1134"/>
                <w:tab w:val="left" w:pos="4820"/>
              </w:tabs>
              <w:suppressAutoHyphens/>
              <w:ind w:left="459"/>
              <w:jc w:val="both"/>
              <w:outlineLvl w:val="1"/>
              <w:rPr>
                <w:rFonts w:eastAsia="Times New Roman" w:cstheme="minorHAnsi"/>
                <w:i/>
                <w:sz w:val="21"/>
                <w:szCs w:val="21"/>
              </w:rPr>
            </w:pPr>
            <w:r w:rsidRPr="0042245A">
              <w:rPr>
                <w:rFonts w:eastAsia="Times New Roman" w:cstheme="minorHAnsi"/>
                <w:b/>
                <w:sz w:val="21"/>
                <w:szCs w:val="21"/>
              </w:rPr>
              <w:t>Ekonominis naudingumas (S) apskaičiuojamas sudedant tiekėjo pasiūlymo kainos C ir kitų kriterijų (T) balus:</w:t>
            </w:r>
          </w:p>
        </w:tc>
      </w:tr>
      <w:tr w:rsidR="00A90D60" w:rsidRPr="0042245A" w14:paraId="3F02C464" w14:textId="77777777" w:rsidTr="00BD0403">
        <w:tc>
          <w:tcPr>
            <w:tcW w:w="3397" w:type="dxa"/>
            <w:vAlign w:val="center"/>
          </w:tcPr>
          <w:p w14:paraId="68B44F8B" w14:textId="5304034E" w:rsidR="00A90D60" w:rsidRPr="0042245A" w:rsidRDefault="000A100D" w:rsidP="000A100D">
            <w:pPr>
              <w:suppressAutoHyphens/>
              <w:jc w:val="center"/>
              <w:rPr>
                <w:rFonts w:eastAsia="Times New Roman" w:cstheme="minorHAnsi"/>
                <w:i/>
                <w:sz w:val="21"/>
                <w:szCs w:val="21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theme="minorHAnsi"/>
                    <w:sz w:val="21"/>
                    <w:szCs w:val="21"/>
                  </w:rPr>
                  <m:t>C=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b/>
                        <w:i/>
                        <w:sz w:val="21"/>
                        <w:szCs w:val="2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theme="minorHAnsi"/>
                            <w:b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theme="minorHAnsi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theme="minorHAnsi"/>
                            <w:sz w:val="21"/>
                            <w:szCs w:val="21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theme="minorHAnsi"/>
                            <w:b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theme="minorHAnsi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theme="minorHAnsi"/>
                            <w:sz w:val="21"/>
                            <w:szCs w:val="21"/>
                          </w:rPr>
                          <m:t>p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theme="minorHAnsi"/>
                    <w:sz w:val="21"/>
                    <w:szCs w:val="21"/>
                  </w:rPr>
                  <m:t>×</m:t>
                </m:r>
                <m:r>
                  <w:rPr>
                    <w:rFonts w:ascii="Cambria Math" w:eastAsia="Times New Roman" w:hAnsi="Cambria Math" w:cstheme="minorHAnsi"/>
                    <w:sz w:val="21"/>
                    <w:szCs w:val="21"/>
                  </w:rPr>
                  <m:t>X</m:t>
                </m:r>
              </m:oMath>
            </m:oMathPara>
          </w:p>
        </w:tc>
        <w:tc>
          <w:tcPr>
            <w:tcW w:w="6231" w:type="dxa"/>
          </w:tcPr>
          <w:p w14:paraId="685C7BB5" w14:textId="77777777" w:rsidR="00A90D60" w:rsidRPr="0042245A" w:rsidRDefault="00A90D60" w:rsidP="00A90D60">
            <w:pPr>
              <w:keepNext/>
              <w:numPr>
                <w:ilvl w:val="1"/>
                <w:numId w:val="1"/>
              </w:numPr>
              <w:tabs>
                <w:tab w:val="left" w:pos="1134"/>
                <w:tab w:val="left" w:pos="4820"/>
              </w:tabs>
              <w:suppressAutoHyphens/>
              <w:ind w:left="459"/>
              <w:contextualSpacing/>
              <w:jc w:val="both"/>
              <w:outlineLvl w:val="1"/>
              <w:rPr>
                <w:rFonts w:eastAsia="Times New Roman" w:cstheme="minorHAnsi"/>
                <w:i/>
                <w:sz w:val="21"/>
                <w:szCs w:val="21"/>
              </w:rPr>
            </w:pPr>
            <w:r w:rsidRPr="0042245A">
              <w:rPr>
                <w:rFonts w:eastAsia="Times New Roman" w:cstheme="minorHAnsi"/>
                <w:b/>
                <w:sz w:val="21"/>
                <w:szCs w:val="21"/>
              </w:rPr>
              <w:t>Pirmojo kriterijaus, t. y. pasiūlymo kainos (C) balai apskaičiuojami mažiausios pasiūlytos kainos (C</w:t>
            </w:r>
            <w:r w:rsidRPr="0042245A">
              <w:rPr>
                <w:rFonts w:eastAsia="Times New Roman" w:cstheme="minorHAnsi"/>
                <w:b/>
                <w:sz w:val="21"/>
                <w:szCs w:val="21"/>
                <w:vertAlign w:val="subscript"/>
              </w:rPr>
              <w:t>min</w:t>
            </w:r>
            <w:r w:rsidRPr="0042245A">
              <w:rPr>
                <w:rFonts w:eastAsia="Times New Roman" w:cstheme="minorHAnsi"/>
                <w:b/>
                <w:sz w:val="21"/>
                <w:szCs w:val="21"/>
              </w:rPr>
              <w:t>) ir vertinamo pasiūlymo kainos (C</w:t>
            </w:r>
            <w:r w:rsidRPr="0042245A">
              <w:rPr>
                <w:rFonts w:eastAsia="Times New Roman" w:cstheme="minorHAnsi"/>
                <w:b/>
                <w:sz w:val="21"/>
                <w:szCs w:val="21"/>
                <w:vertAlign w:val="subscript"/>
              </w:rPr>
              <w:t>p</w:t>
            </w:r>
            <w:r w:rsidRPr="0042245A">
              <w:rPr>
                <w:rFonts w:eastAsia="Times New Roman" w:cstheme="minorHAnsi"/>
                <w:b/>
                <w:sz w:val="21"/>
                <w:szCs w:val="21"/>
              </w:rPr>
              <w:t>) santykį padauginant iš kainos lyginamojo svorio (X):</w:t>
            </w:r>
          </w:p>
        </w:tc>
      </w:tr>
      <w:tr w:rsidR="00A90D60" w:rsidRPr="0042245A" w14:paraId="01D181CD" w14:textId="77777777" w:rsidTr="00BD0403">
        <w:tc>
          <w:tcPr>
            <w:tcW w:w="3397" w:type="dxa"/>
            <w:vAlign w:val="center"/>
          </w:tcPr>
          <w:p w14:paraId="683510E9" w14:textId="77777777" w:rsidR="00A90D60" w:rsidRPr="0042245A" w:rsidRDefault="00A90D60" w:rsidP="00A90D60">
            <w:pPr>
              <w:suppressAutoHyphens/>
              <w:jc w:val="center"/>
              <w:rPr>
                <w:rFonts w:eastAsia="Times New Roman" w:cstheme="minorHAnsi"/>
                <w:i/>
                <w:sz w:val="21"/>
                <w:szCs w:val="21"/>
              </w:rPr>
            </w:pPr>
            <w:r w:rsidRPr="0042245A">
              <w:rPr>
                <w:rFonts w:eastAsia="Times New Roman" w:cstheme="minorHAnsi"/>
                <w:b/>
                <w:kern w:val="2"/>
                <w:position w:val="-28"/>
                <w:sz w:val="21"/>
                <w:szCs w:val="21"/>
                <w14:ligatures w14:val="standardContextual"/>
              </w:rPr>
              <w:object w:dxaOrig="960" w:dyaOrig="540" w14:anchorId="7C62599C">
                <v:shape id="_x0000_i1026" type="#_x0000_t75" style="width:48pt;height:27pt" o:ole="" fillcolor="window">
                  <v:imagedata r:id="rId7" o:title=""/>
                </v:shape>
                <o:OLEObject Type="Embed" ProgID="Equation.3" ShapeID="_x0000_i1026" DrawAspect="Content" ObjectID="_1802609781" r:id="rId8"/>
              </w:object>
            </w:r>
          </w:p>
        </w:tc>
        <w:tc>
          <w:tcPr>
            <w:tcW w:w="6231" w:type="dxa"/>
          </w:tcPr>
          <w:p w14:paraId="56D699A7" w14:textId="2AED0932" w:rsidR="00A90D60" w:rsidRPr="0042245A" w:rsidRDefault="00A90D60" w:rsidP="00A90D60">
            <w:pPr>
              <w:keepNext/>
              <w:numPr>
                <w:ilvl w:val="1"/>
                <w:numId w:val="1"/>
              </w:numPr>
              <w:tabs>
                <w:tab w:val="left" w:pos="1134"/>
                <w:tab w:val="left" w:pos="4253"/>
              </w:tabs>
              <w:suppressAutoHyphens/>
              <w:ind w:left="459"/>
              <w:contextualSpacing/>
              <w:jc w:val="both"/>
              <w:outlineLvl w:val="1"/>
              <w:rPr>
                <w:rFonts w:eastAsia="Times New Roman" w:cstheme="minorHAnsi"/>
                <w:i/>
                <w:sz w:val="21"/>
                <w:szCs w:val="21"/>
              </w:rPr>
            </w:pPr>
            <w:r w:rsidRPr="0042245A">
              <w:rPr>
                <w:rFonts w:eastAsia="Times New Roman" w:cstheme="minorHAnsi"/>
                <w:b/>
                <w:sz w:val="21"/>
                <w:szCs w:val="21"/>
              </w:rPr>
              <w:t>Kriterijų (T) balai apskaičiuojami sudedant atskirų kriterijų (T</w:t>
            </w:r>
            <w:r w:rsidR="000D4BF5" w:rsidRPr="0042245A">
              <w:rPr>
                <w:rFonts w:eastAsia="Times New Roman" w:cstheme="minorHAnsi"/>
                <w:b/>
                <w:sz w:val="21"/>
                <w:szCs w:val="21"/>
              </w:rPr>
              <w:t xml:space="preserve"> =</w:t>
            </w:r>
            <w:r w:rsidRPr="0042245A">
              <w:rPr>
                <w:rFonts w:eastAsia="Times New Roman" w:cstheme="minorHAnsi"/>
                <w:b/>
                <w:sz w:val="21"/>
                <w:szCs w:val="21"/>
                <w:vertAlign w:val="subscript"/>
              </w:rPr>
              <w:t xml:space="preserve"> </w:t>
            </w:r>
            <w:r w:rsidRPr="0042245A">
              <w:rPr>
                <w:rFonts w:eastAsia="Calibri" w:cstheme="minorHAnsi"/>
                <w:b/>
                <w:sz w:val="21"/>
                <w:szCs w:val="21"/>
              </w:rPr>
              <w:t>T</w:t>
            </w:r>
            <w:r w:rsidRPr="0042245A">
              <w:rPr>
                <w:rFonts w:eastAsia="Calibri" w:cstheme="minorHAnsi"/>
                <w:b/>
                <w:sz w:val="21"/>
                <w:szCs w:val="21"/>
                <w:vertAlign w:val="subscript"/>
              </w:rPr>
              <w:t xml:space="preserve">1 </w:t>
            </w:r>
            <w:r w:rsidRPr="0042245A">
              <w:rPr>
                <w:rFonts w:eastAsia="Times New Roman" w:cstheme="minorHAnsi"/>
                <w:b/>
                <w:sz w:val="21"/>
                <w:szCs w:val="21"/>
              </w:rPr>
              <w:t xml:space="preserve">+ </w:t>
            </w:r>
            <w:r w:rsidRPr="0042245A">
              <w:rPr>
                <w:rFonts w:eastAsia="Calibri" w:cstheme="minorHAnsi"/>
                <w:b/>
                <w:sz w:val="21"/>
                <w:szCs w:val="21"/>
              </w:rPr>
              <w:t>T</w:t>
            </w:r>
            <w:r w:rsidRPr="0042245A">
              <w:rPr>
                <w:rFonts w:eastAsia="Calibri" w:cstheme="minorHAnsi"/>
                <w:b/>
                <w:sz w:val="21"/>
                <w:szCs w:val="21"/>
                <w:vertAlign w:val="subscript"/>
              </w:rPr>
              <w:t>2</w:t>
            </w:r>
            <w:r w:rsidR="002159ED" w:rsidRPr="0042245A">
              <w:rPr>
                <w:rFonts w:eastAsia="Calibri" w:cstheme="minorHAnsi"/>
                <w:b/>
                <w:sz w:val="21"/>
                <w:szCs w:val="21"/>
                <w:vertAlign w:val="subscript"/>
              </w:rPr>
              <w:t xml:space="preserve"> </w:t>
            </w:r>
            <w:r w:rsidR="002159ED" w:rsidRPr="0042245A">
              <w:rPr>
                <w:rFonts w:eastAsia="Calibri" w:cstheme="minorHAnsi"/>
                <w:b/>
                <w:sz w:val="21"/>
                <w:szCs w:val="21"/>
              </w:rPr>
              <w:t>+ T</w:t>
            </w:r>
            <w:r w:rsidR="002159ED" w:rsidRPr="0042245A">
              <w:rPr>
                <w:rFonts w:eastAsia="Calibri" w:cstheme="minorHAnsi"/>
                <w:b/>
                <w:sz w:val="21"/>
                <w:szCs w:val="21"/>
                <w:vertAlign w:val="subscript"/>
              </w:rPr>
              <w:t>3</w:t>
            </w:r>
            <w:r w:rsidRPr="0042245A">
              <w:rPr>
                <w:rFonts w:eastAsia="Times New Roman" w:cstheme="minorHAnsi"/>
                <w:b/>
                <w:sz w:val="21"/>
                <w:szCs w:val="21"/>
              </w:rPr>
              <w:t>) balus:</w:t>
            </w:r>
          </w:p>
        </w:tc>
      </w:tr>
    </w:tbl>
    <w:p w14:paraId="4658FCA5" w14:textId="77777777" w:rsidR="00A90D60" w:rsidRPr="0042245A" w:rsidRDefault="00A90D60" w:rsidP="00A90D60">
      <w:pPr>
        <w:suppressAutoHyphens/>
        <w:spacing w:after="0" w:line="240" w:lineRule="auto"/>
        <w:jc w:val="both"/>
        <w:rPr>
          <w:rFonts w:eastAsia="Calibri" w:cstheme="minorHAnsi"/>
          <w:b/>
          <w:kern w:val="0"/>
          <w:sz w:val="21"/>
          <w:szCs w:val="21"/>
          <w14:ligatures w14:val="none"/>
        </w:rPr>
      </w:pPr>
      <w:bookmarkStart w:id="3" w:name="_Hlk184970688"/>
    </w:p>
    <w:bookmarkEnd w:id="3"/>
    <w:p w14:paraId="55B21A37" w14:textId="77777777" w:rsidR="00FD1DEC" w:rsidRPr="0042245A" w:rsidRDefault="00FD1DEC" w:rsidP="00F035B2">
      <w:pPr>
        <w:suppressAutoHyphens/>
        <w:spacing w:after="0" w:line="240" w:lineRule="auto"/>
        <w:jc w:val="both"/>
        <w:rPr>
          <w:rFonts w:eastAsia="Calibri" w:cstheme="minorHAnsi"/>
          <w:b/>
          <w:kern w:val="0"/>
          <w:sz w:val="21"/>
          <w:szCs w:val="21"/>
          <w14:ligatures w14:val="none"/>
        </w:rPr>
      </w:pPr>
    </w:p>
    <w:p w14:paraId="3521D632" w14:textId="5152C899" w:rsidR="00F035B2" w:rsidRPr="0042245A" w:rsidRDefault="00F035B2" w:rsidP="0042245A">
      <w:pPr>
        <w:suppressAutoHyphens/>
        <w:spacing w:after="0" w:line="240" w:lineRule="auto"/>
        <w:ind w:right="140"/>
        <w:jc w:val="both"/>
        <w:rPr>
          <w:rFonts w:eastAsia="Calibri" w:cstheme="minorHAnsi"/>
          <w:b/>
          <w:kern w:val="0"/>
          <w:sz w:val="21"/>
          <w:szCs w:val="21"/>
          <w14:ligatures w14:val="none"/>
        </w:rPr>
      </w:pPr>
      <w:bookmarkStart w:id="4" w:name="_Hlk184966982"/>
      <w:r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1.</w:t>
      </w:r>
      <w:r w:rsidR="00773FAE"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4</w:t>
      </w:r>
      <w:r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. Antrojo kriterijaus t.y.</w:t>
      </w:r>
      <w:r w:rsidR="0055477C"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 xml:space="preserve"> </w:t>
      </w:r>
      <w:r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Į</w:t>
      </w:r>
      <w:r w:rsidR="00DD2B58"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renginių</w:t>
      </w:r>
      <w:r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 xml:space="preserve"> garantini</w:t>
      </w:r>
      <w:r w:rsidR="00D04BA7"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s</w:t>
      </w:r>
      <w:r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 xml:space="preserve"> termin</w:t>
      </w:r>
      <w:r w:rsidR="00D04BA7"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as</w:t>
      </w:r>
      <w:r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 xml:space="preserve"> išreikšta</w:t>
      </w:r>
      <w:r w:rsidR="00D04BA7"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s</w:t>
      </w:r>
      <w:r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 xml:space="preserve"> mėnesiais (G), balai </w:t>
      </w:r>
      <w:r w:rsidR="00773FAE"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(T</w:t>
      </w:r>
      <w:r w:rsidR="00773FAE" w:rsidRPr="0042245A">
        <w:rPr>
          <w:rFonts w:eastAsia="Calibri" w:cstheme="minorHAnsi"/>
          <w:b/>
          <w:kern w:val="0"/>
          <w:sz w:val="21"/>
          <w:szCs w:val="21"/>
          <w:vertAlign w:val="subscript"/>
          <w14:ligatures w14:val="none"/>
        </w:rPr>
        <w:t>1</w:t>
      </w:r>
      <w:r w:rsidR="00773FAE" w:rsidRPr="0042245A">
        <w:rPr>
          <w:rFonts w:eastAsia="Calibri" w:cstheme="minorHAnsi"/>
          <w:b/>
          <w:kern w:val="0"/>
          <w:sz w:val="21"/>
          <w:szCs w:val="21"/>
          <w14:ligatures w14:val="none"/>
        </w:rPr>
        <w:t>)</w:t>
      </w:r>
      <w:r w:rsidR="00093839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 xml:space="preserve">  apskaičiuojami vertinamo pasiūlymo garantinio termino (</w:t>
      </w:r>
      <w:r w:rsidR="00EE70B5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G</w:t>
      </w:r>
      <w:r w:rsidR="00093839" w:rsidRPr="0042245A">
        <w:rPr>
          <w:rFonts w:eastAsia="Times New Roman" w:cstheme="minorHAnsi"/>
          <w:b/>
          <w:kern w:val="0"/>
          <w:sz w:val="21"/>
          <w:szCs w:val="21"/>
          <w:vertAlign w:val="subscript"/>
          <w14:ligatures w14:val="none"/>
        </w:rPr>
        <w:t>p</w:t>
      </w:r>
      <w:r w:rsidR="00093839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)  ir didžiausio pasiūlyto garantijos termino mėnesiais (</w:t>
      </w:r>
      <w:r w:rsidR="00EE70B5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G</w:t>
      </w:r>
      <w:r w:rsidR="00093839" w:rsidRPr="0042245A">
        <w:rPr>
          <w:rFonts w:eastAsia="Times New Roman" w:cstheme="minorHAnsi"/>
          <w:b/>
          <w:kern w:val="0"/>
          <w:sz w:val="21"/>
          <w:szCs w:val="21"/>
          <w:vertAlign w:val="subscript"/>
          <w14:ligatures w14:val="none"/>
        </w:rPr>
        <w:t>max</w:t>
      </w:r>
      <w:r w:rsidR="00093839" w:rsidRPr="0042245A">
        <w:rPr>
          <w:rFonts w:eastAsia="Times New Roman" w:cstheme="minorHAnsi"/>
          <w:b/>
          <w:kern w:val="0"/>
          <w:sz w:val="21"/>
          <w:szCs w:val="21"/>
          <w14:ligatures w14:val="none"/>
        </w:rPr>
        <w:t>) santykį padauginant iš šio kriterijaus lyginamojo svorio Y</w:t>
      </w:r>
      <w:r w:rsidR="00093839" w:rsidRPr="0042245A">
        <w:rPr>
          <w:rFonts w:eastAsia="Times New Roman" w:cstheme="minorHAnsi"/>
          <w:b/>
          <w:kern w:val="0"/>
          <w:sz w:val="21"/>
          <w:szCs w:val="21"/>
          <w:vertAlign w:val="subscript"/>
          <w14:ligatures w14:val="none"/>
        </w:rPr>
        <w:t>1</w:t>
      </w:r>
    </w:p>
    <w:bookmarkEnd w:id="4"/>
    <w:p w14:paraId="7252E5E5" w14:textId="77777777" w:rsidR="00526194" w:rsidRPr="0042245A" w:rsidRDefault="00526194" w:rsidP="00F035B2">
      <w:pPr>
        <w:suppressAutoHyphens/>
        <w:spacing w:after="0" w:line="240" w:lineRule="auto"/>
        <w:jc w:val="both"/>
        <w:rPr>
          <w:rFonts w:eastAsia="Calibri" w:cstheme="minorHAnsi"/>
          <w:b/>
          <w:kern w:val="0"/>
          <w:sz w:val="21"/>
          <w:szCs w:val="21"/>
          <w14:ligatures w14:val="none"/>
        </w:rPr>
      </w:pPr>
    </w:p>
    <w:p w14:paraId="507C6567" w14:textId="7F4628AD" w:rsidR="00526194" w:rsidRPr="0042245A" w:rsidRDefault="00501A81" w:rsidP="000A100D">
      <w:pPr>
        <w:suppressAutoHyphens/>
        <w:spacing w:after="0" w:line="240" w:lineRule="auto"/>
        <w:jc w:val="both"/>
        <w:rPr>
          <w:rFonts w:eastAsia="Calibri" w:cstheme="minorHAnsi"/>
          <w:b/>
          <w:kern w:val="0"/>
          <w:sz w:val="21"/>
          <w:szCs w:val="21"/>
          <w14:ligatures w14:val="none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theme="minorHAnsi"/>
                  <w:i/>
                  <w:kern w:val="0"/>
                  <w:sz w:val="21"/>
                  <w:szCs w:val="21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theme="minorHAnsi"/>
                  <w:kern w:val="0"/>
                  <w:sz w:val="21"/>
                  <w:szCs w:val="21"/>
                  <w14:ligatures w14:val="none"/>
                </w:rPr>
                <m:t>T</m:t>
              </m:r>
            </m:e>
            <m:sub>
              <m:r>
                <w:rPr>
                  <w:rFonts w:ascii="Cambria Math" w:eastAsia="Calibri" w:hAnsi="Cambria Math" w:cstheme="minorHAnsi"/>
                  <w:kern w:val="0"/>
                  <w:sz w:val="21"/>
                  <w:szCs w:val="21"/>
                  <w14:ligatures w14:val="none"/>
                </w:rPr>
                <m:t>1</m:t>
              </m:r>
            </m:sub>
          </m:sSub>
          <m:r>
            <w:rPr>
              <w:rFonts w:ascii="Cambria Math" w:eastAsia="Calibri" w:hAnsi="Cambria Math" w:cstheme="minorHAnsi"/>
              <w:kern w:val="0"/>
              <w:sz w:val="21"/>
              <w:szCs w:val="21"/>
              <w14:ligatures w14:val="none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i/>
                  <w:kern w:val="0"/>
                  <w:sz w:val="21"/>
                  <w:szCs w:val="21"/>
                  <w14:ligatures w14:val="none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kern w:val="0"/>
                      <w:sz w:val="21"/>
                      <w:szCs w:val="21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kern w:val="0"/>
                      <w:sz w:val="21"/>
                      <w:szCs w:val="21"/>
                      <w14:ligatures w14:val="none"/>
                    </w:rPr>
                    <m:t>G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kern w:val="0"/>
                      <w:sz w:val="21"/>
                      <w:szCs w:val="21"/>
                      <w14:ligatures w14:val="none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kern w:val="0"/>
                      <w:sz w:val="21"/>
                      <w:szCs w:val="21"/>
                      <w14:ligatures w14:val="none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kern w:val="0"/>
                      <w:sz w:val="21"/>
                      <w:szCs w:val="21"/>
                      <w14:ligatures w14:val="none"/>
                    </w:rPr>
                    <m:t>G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kern w:val="0"/>
                      <w:sz w:val="21"/>
                      <w:szCs w:val="21"/>
                      <w14:ligatures w14:val="none"/>
                    </w:rPr>
                    <m:t>max</m:t>
                  </m:r>
                </m:sub>
              </m:sSub>
            </m:den>
          </m:f>
          <m:r>
            <w:rPr>
              <w:rFonts w:ascii="Cambria Math" w:eastAsia="Calibri" w:hAnsi="Cambria Math" w:cstheme="minorHAnsi"/>
              <w:kern w:val="0"/>
              <w:sz w:val="21"/>
              <w:szCs w:val="21"/>
              <w14:ligatures w14:val="none"/>
            </w:rPr>
            <m:t>×</m:t>
          </m:r>
          <m:sSub>
            <m:sSubPr>
              <m:ctrlPr>
                <w:rPr>
                  <w:rFonts w:ascii="Cambria Math" w:eastAsia="Calibri" w:hAnsi="Cambria Math" w:cstheme="minorHAnsi"/>
                  <w:i/>
                  <w:kern w:val="0"/>
                  <w:sz w:val="21"/>
                  <w:szCs w:val="21"/>
                  <w14:ligatures w14:val="none"/>
                </w:rPr>
              </m:ctrlPr>
            </m:sSubPr>
            <m:e>
              <m:r>
                <w:rPr>
                  <w:rFonts w:ascii="Cambria Math" w:eastAsia="Calibri" w:hAnsi="Cambria Math" w:cstheme="minorHAnsi"/>
                  <w:kern w:val="0"/>
                  <w:sz w:val="21"/>
                  <w:szCs w:val="21"/>
                  <w14:ligatures w14:val="none"/>
                </w:rPr>
                <m:t>Y</m:t>
              </m:r>
            </m:e>
            <m:sub>
              <m:r>
                <w:rPr>
                  <w:rFonts w:ascii="Cambria Math" w:eastAsia="Calibri" w:hAnsi="Cambria Math" w:cstheme="minorHAnsi"/>
                  <w:kern w:val="0"/>
                  <w:sz w:val="21"/>
                  <w:szCs w:val="21"/>
                  <w14:ligatures w14:val="none"/>
                </w:rPr>
                <m:t>1</m:t>
              </m:r>
            </m:sub>
          </m:sSub>
        </m:oMath>
      </m:oMathPara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F035B2" w:rsidRPr="0042245A" w14:paraId="3584E9BD" w14:textId="77777777" w:rsidTr="00D24CA7">
        <w:trPr>
          <w:trHeight w:val="1315"/>
        </w:trPr>
        <w:tc>
          <w:tcPr>
            <w:tcW w:w="9493" w:type="dxa"/>
            <w:vAlign w:val="center"/>
          </w:tcPr>
          <w:p w14:paraId="00A2802B" w14:textId="77777777" w:rsidR="0042245A" w:rsidRDefault="0042245A" w:rsidP="008A4BE5">
            <w:pPr>
              <w:keepNext/>
              <w:tabs>
                <w:tab w:val="left" w:pos="300"/>
                <w:tab w:val="left" w:pos="675"/>
              </w:tabs>
              <w:suppressAutoHyphens/>
              <w:ind w:firstLine="709"/>
              <w:jc w:val="both"/>
              <w:outlineLvl w:val="1"/>
              <w:rPr>
                <w:rFonts w:eastAsia="Calibri" w:cstheme="minorHAnsi"/>
                <w:b/>
                <w:sz w:val="21"/>
                <w:szCs w:val="21"/>
              </w:rPr>
            </w:pPr>
          </w:p>
          <w:p w14:paraId="7433903A" w14:textId="7AE00EBE" w:rsidR="00F035B2" w:rsidRPr="0042245A" w:rsidRDefault="00F035B2" w:rsidP="008A4BE5">
            <w:pPr>
              <w:keepNext/>
              <w:tabs>
                <w:tab w:val="left" w:pos="300"/>
                <w:tab w:val="left" w:pos="675"/>
              </w:tabs>
              <w:suppressAutoHyphens/>
              <w:ind w:firstLine="709"/>
              <w:jc w:val="both"/>
              <w:outlineLvl w:val="1"/>
              <w:rPr>
                <w:rFonts w:eastAsia="Calibri" w:cstheme="minorHAnsi"/>
                <w:b/>
                <w:sz w:val="21"/>
                <w:szCs w:val="21"/>
              </w:rPr>
            </w:pPr>
            <w:r w:rsidRPr="0042245A">
              <w:rPr>
                <w:rFonts w:eastAsia="Calibri" w:cstheme="minorHAnsi"/>
                <w:b/>
                <w:sz w:val="21"/>
                <w:szCs w:val="21"/>
              </w:rPr>
              <w:t xml:space="preserve">Paaiškinimai: </w:t>
            </w:r>
          </w:p>
          <w:p w14:paraId="7930E7F2" w14:textId="521ABA70" w:rsidR="00F035B2" w:rsidRPr="0042245A" w:rsidRDefault="00F035B2" w:rsidP="008A4BE5">
            <w:pPr>
              <w:keepNext/>
              <w:tabs>
                <w:tab w:val="left" w:pos="300"/>
                <w:tab w:val="left" w:pos="675"/>
              </w:tabs>
              <w:suppressAutoHyphens/>
              <w:ind w:firstLine="709"/>
              <w:jc w:val="both"/>
              <w:outlineLvl w:val="1"/>
              <w:rPr>
                <w:rFonts w:eastAsia="Calibri" w:cstheme="minorHAnsi"/>
                <w:sz w:val="21"/>
                <w:szCs w:val="21"/>
              </w:rPr>
            </w:pPr>
            <w:r w:rsidRPr="0042245A">
              <w:rPr>
                <w:rFonts w:eastAsia="Calibri" w:cstheme="minorHAnsi"/>
                <w:sz w:val="21"/>
                <w:szCs w:val="21"/>
              </w:rPr>
              <w:t xml:space="preserve">1. </w:t>
            </w:r>
            <w:r w:rsidR="00DD2B58" w:rsidRPr="0042245A">
              <w:rPr>
                <w:rFonts w:eastAsia="Calibri" w:cstheme="minorHAnsi"/>
                <w:sz w:val="21"/>
                <w:szCs w:val="21"/>
              </w:rPr>
              <w:t>Į</w:t>
            </w:r>
            <w:r w:rsidR="00DD2B58" w:rsidRPr="0042245A">
              <w:rPr>
                <w:rFonts w:eastAsia="Calibri" w:cstheme="minorHAnsi"/>
                <w:bCs/>
                <w:sz w:val="21"/>
                <w:szCs w:val="21"/>
              </w:rPr>
              <w:t>renginių</w:t>
            </w:r>
            <w:r w:rsidRPr="0042245A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2245A">
              <w:rPr>
                <w:rFonts w:eastAsia="Calibri" w:cstheme="minorHAnsi"/>
                <w:sz w:val="21"/>
                <w:szCs w:val="21"/>
              </w:rPr>
              <w:t>garantini</w:t>
            </w:r>
            <w:r w:rsidR="002F2B17" w:rsidRPr="0042245A">
              <w:rPr>
                <w:rFonts w:eastAsia="Calibri" w:cstheme="minorHAnsi"/>
                <w:sz w:val="21"/>
                <w:szCs w:val="21"/>
              </w:rPr>
              <w:t>o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termin</w:t>
            </w:r>
            <w:r w:rsidR="002F2B17" w:rsidRPr="0042245A">
              <w:rPr>
                <w:rFonts w:eastAsia="Calibri" w:cstheme="minorHAnsi"/>
                <w:sz w:val="21"/>
                <w:szCs w:val="21"/>
              </w:rPr>
              <w:t>o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trukmė</w:t>
            </w:r>
            <w:r w:rsidR="00195132" w:rsidRPr="0042245A">
              <w:rPr>
                <w:rFonts w:eastAsia="Calibri" w:cstheme="minorHAnsi"/>
                <w:sz w:val="21"/>
                <w:szCs w:val="21"/>
              </w:rPr>
              <w:t xml:space="preserve"> skaičiuojama sveikais</w:t>
            </w:r>
            <w:r w:rsidR="002F2B17" w:rsidRPr="0042245A">
              <w:rPr>
                <w:rFonts w:eastAsia="Calibri" w:cstheme="minorHAnsi"/>
                <w:sz w:val="21"/>
                <w:szCs w:val="21"/>
              </w:rPr>
              <w:t xml:space="preserve"> skaičiais,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mėnesiais</w:t>
            </w:r>
            <w:r w:rsidR="002F2B17" w:rsidRPr="0042245A">
              <w:rPr>
                <w:rFonts w:eastAsia="Calibri" w:cstheme="minorHAnsi"/>
                <w:sz w:val="21"/>
                <w:szCs w:val="21"/>
              </w:rPr>
              <w:t>.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</w:t>
            </w:r>
          </w:p>
          <w:p w14:paraId="3FAE9CDF" w14:textId="38070619" w:rsidR="00CD79C9" w:rsidRPr="0042245A" w:rsidRDefault="00F035B2" w:rsidP="008A4BE5">
            <w:pPr>
              <w:ind w:firstLine="709"/>
              <w:jc w:val="both"/>
              <w:rPr>
                <w:rFonts w:eastAsia="Times New Roman" w:cstheme="minorHAnsi"/>
                <w:b/>
                <w:bCs/>
                <w:color w:val="C00000"/>
                <w:sz w:val="21"/>
                <w:szCs w:val="21"/>
              </w:rPr>
            </w:pPr>
            <w:r w:rsidRPr="0042245A">
              <w:rPr>
                <w:rFonts w:eastAsia="Calibri" w:cstheme="minorHAnsi"/>
                <w:sz w:val="21"/>
                <w:szCs w:val="21"/>
              </w:rPr>
              <w:t>2.</w:t>
            </w:r>
            <w:r w:rsidR="002F2B17" w:rsidRPr="0042245A">
              <w:rPr>
                <w:rFonts w:eastAsia="Calibri" w:cstheme="minorHAnsi"/>
                <w:sz w:val="21"/>
                <w:szCs w:val="21"/>
              </w:rPr>
              <w:t xml:space="preserve"> P</w:t>
            </w:r>
            <w:r w:rsidRPr="0042245A">
              <w:rPr>
                <w:rFonts w:eastAsia="Calibri" w:cstheme="minorHAnsi"/>
                <w:sz w:val="21"/>
                <w:szCs w:val="21"/>
              </w:rPr>
              <w:t>rivalomas</w:t>
            </w:r>
            <w:r w:rsidRPr="0042245A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42245A">
              <w:rPr>
                <w:rFonts w:eastAsia="Calibri" w:cstheme="minorHAnsi"/>
                <w:bCs/>
                <w:sz w:val="21"/>
                <w:szCs w:val="21"/>
              </w:rPr>
              <w:t>Į</w:t>
            </w:r>
            <w:r w:rsidR="00DD2B58" w:rsidRPr="0042245A">
              <w:rPr>
                <w:rFonts w:eastAsia="Calibri" w:cstheme="minorHAnsi"/>
                <w:bCs/>
                <w:sz w:val="21"/>
                <w:szCs w:val="21"/>
              </w:rPr>
              <w:t>renginiams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suteik</w:t>
            </w:r>
            <w:r w:rsidR="002F2B17" w:rsidRPr="0042245A">
              <w:rPr>
                <w:rFonts w:eastAsia="Calibri" w:cstheme="minorHAnsi"/>
                <w:sz w:val="21"/>
                <w:szCs w:val="21"/>
              </w:rPr>
              <w:t>ti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garantinis terminas yra 24 mėnesiai nuo </w:t>
            </w:r>
            <w:r w:rsidR="00DD2B58" w:rsidRPr="0042245A">
              <w:rPr>
                <w:rFonts w:eastAsia="Calibri" w:cstheme="minorHAnsi"/>
                <w:sz w:val="21"/>
                <w:szCs w:val="21"/>
              </w:rPr>
              <w:t xml:space="preserve">visų 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Darbų </w:t>
            </w:r>
            <w:r w:rsidR="00DD2B58" w:rsidRPr="0042245A">
              <w:rPr>
                <w:rFonts w:eastAsia="Calibri" w:cstheme="minorHAnsi"/>
                <w:sz w:val="21"/>
                <w:szCs w:val="21"/>
              </w:rPr>
              <w:t>priėmimo dienos (neįskaitytinai)</w:t>
            </w:r>
            <w:r w:rsidR="00CD79C9" w:rsidRPr="0042245A">
              <w:rPr>
                <w:rFonts w:eastAsia="Calibri" w:cstheme="minorHAnsi"/>
                <w:sz w:val="21"/>
                <w:szCs w:val="21"/>
              </w:rPr>
              <w:t>;</w:t>
            </w:r>
          </w:p>
          <w:p w14:paraId="66F3E429" w14:textId="1EA35427" w:rsidR="00F035B2" w:rsidRPr="0042245A" w:rsidRDefault="00F035B2" w:rsidP="008A4BE5">
            <w:pPr>
              <w:tabs>
                <w:tab w:val="left" w:pos="179"/>
                <w:tab w:val="left" w:pos="885"/>
              </w:tabs>
              <w:ind w:firstLine="709"/>
              <w:jc w:val="both"/>
              <w:rPr>
                <w:rFonts w:eastAsia="Calibri" w:cstheme="minorHAnsi"/>
                <w:sz w:val="21"/>
                <w:szCs w:val="21"/>
              </w:rPr>
            </w:pPr>
            <w:r w:rsidRPr="0042245A">
              <w:rPr>
                <w:rFonts w:eastAsia="Calibri" w:cstheme="minorHAnsi"/>
                <w:sz w:val="21"/>
                <w:szCs w:val="21"/>
              </w:rPr>
              <w:t>3.</w:t>
            </w:r>
            <w:r w:rsidRPr="0042245A">
              <w:rPr>
                <w:rFonts w:eastAsia="Calibri" w:cstheme="minorHAnsi"/>
                <w:sz w:val="21"/>
                <w:szCs w:val="21"/>
              </w:rPr>
              <w:tab/>
              <w:t>Tiekėjas deklaruoja,</w:t>
            </w:r>
            <w:r w:rsidR="0055477C" w:rsidRPr="0042245A">
              <w:rPr>
                <w:rFonts w:eastAsia="Calibri" w:cstheme="minorHAnsi"/>
                <w:sz w:val="21"/>
                <w:szCs w:val="21"/>
              </w:rPr>
              <w:t xml:space="preserve"> </w:t>
            </w:r>
            <w:r w:rsidRPr="0042245A">
              <w:rPr>
                <w:rFonts w:eastAsia="Calibri" w:cstheme="minorHAnsi"/>
                <w:sz w:val="21"/>
                <w:szCs w:val="21"/>
              </w:rPr>
              <w:t>Į</w:t>
            </w:r>
            <w:r w:rsidR="007F59BC" w:rsidRPr="0042245A">
              <w:rPr>
                <w:rFonts w:eastAsia="Calibri" w:cstheme="minorHAnsi"/>
                <w:bCs/>
                <w:sz w:val="21"/>
                <w:szCs w:val="21"/>
              </w:rPr>
              <w:t>renginiams</w:t>
            </w:r>
            <w:r w:rsidRPr="0042245A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42245A">
              <w:rPr>
                <w:rFonts w:eastAsia="Calibri" w:cstheme="minorHAnsi"/>
                <w:sz w:val="21"/>
                <w:szCs w:val="21"/>
              </w:rPr>
              <w:t>suteikiamą garantinį terminą (G)</w:t>
            </w:r>
            <w:r w:rsidR="002159ED" w:rsidRPr="0042245A">
              <w:rPr>
                <w:rFonts w:eastAsia="Calibri" w:cstheme="minorHAnsi"/>
                <w:sz w:val="21"/>
                <w:szCs w:val="21"/>
              </w:rPr>
              <w:t xml:space="preserve"> </w:t>
            </w:r>
            <w:r w:rsidR="00195132" w:rsidRPr="0042245A">
              <w:rPr>
                <w:rFonts w:eastAsia="Calibri" w:cstheme="minorHAnsi"/>
                <w:sz w:val="21"/>
                <w:szCs w:val="21"/>
              </w:rPr>
              <w:t>sveikais</w:t>
            </w:r>
            <w:r w:rsidR="008E0275" w:rsidRPr="0042245A">
              <w:rPr>
                <w:rFonts w:eastAsia="Calibri" w:cstheme="minorHAnsi"/>
                <w:sz w:val="21"/>
                <w:szCs w:val="21"/>
              </w:rPr>
              <w:t xml:space="preserve"> skaičiais</w:t>
            </w:r>
            <w:r w:rsidR="00195132" w:rsidRPr="0042245A">
              <w:rPr>
                <w:rFonts w:eastAsia="Calibri" w:cstheme="minorHAnsi"/>
                <w:sz w:val="21"/>
                <w:szCs w:val="21"/>
              </w:rPr>
              <w:t xml:space="preserve"> </w:t>
            </w:r>
            <w:r w:rsidR="002159ED" w:rsidRPr="0042245A">
              <w:rPr>
                <w:rFonts w:eastAsia="Calibri" w:cstheme="minorHAnsi"/>
                <w:sz w:val="21"/>
                <w:szCs w:val="21"/>
              </w:rPr>
              <w:t xml:space="preserve">mėnesiais. </w:t>
            </w:r>
            <w:r w:rsidR="00195132" w:rsidRPr="0042245A">
              <w:rPr>
                <w:rFonts w:eastAsia="Calibri" w:cstheme="minorHAnsi"/>
                <w:sz w:val="21"/>
                <w:szCs w:val="21"/>
              </w:rPr>
              <w:t>Maksimali</w:t>
            </w:r>
            <w:r w:rsidR="00F17A1D" w:rsidRPr="0042245A">
              <w:rPr>
                <w:rFonts w:eastAsia="Calibri" w:cstheme="minorHAnsi"/>
                <w:sz w:val="21"/>
                <w:szCs w:val="21"/>
              </w:rPr>
              <w:t xml:space="preserve"> </w:t>
            </w:r>
            <w:r w:rsidR="002F2B17" w:rsidRPr="0042245A">
              <w:rPr>
                <w:rFonts w:eastAsia="Calibri" w:cstheme="minorHAnsi"/>
                <w:sz w:val="21"/>
                <w:szCs w:val="21"/>
              </w:rPr>
              <w:t>Į</w:t>
            </w:r>
            <w:r w:rsidR="007F59BC" w:rsidRPr="0042245A">
              <w:rPr>
                <w:rFonts w:eastAsia="Calibri" w:cstheme="minorHAnsi"/>
                <w:sz w:val="21"/>
                <w:szCs w:val="21"/>
              </w:rPr>
              <w:t>renginių</w:t>
            </w:r>
            <w:r w:rsidR="002F2B17" w:rsidRPr="0042245A">
              <w:rPr>
                <w:rFonts w:eastAsia="Calibri" w:cstheme="minorHAnsi"/>
                <w:sz w:val="21"/>
                <w:szCs w:val="21"/>
              </w:rPr>
              <w:t xml:space="preserve"> </w:t>
            </w:r>
            <w:r w:rsidR="00195132" w:rsidRPr="0042245A">
              <w:rPr>
                <w:rFonts w:eastAsia="Calibri" w:cstheme="minorHAnsi"/>
                <w:sz w:val="21"/>
                <w:szCs w:val="21"/>
              </w:rPr>
              <w:t>garantija gali būti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</w:t>
            </w:r>
            <w:r w:rsidR="00CD79C9" w:rsidRPr="0042245A">
              <w:rPr>
                <w:rFonts w:eastAsia="Calibri" w:cstheme="minorHAnsi"/>
                <w:sz w:val="21"/>
                <w:szCs w:val="21"/>
              </w:rPr>
              <w:t>60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mėn. (</w:t>
            </w:r>
            <w:r w:rsidRPr="0042245A">
              <w:rPr>
                <w:rFonts w:eastAsia="Calibri" w:cstheme="minorHAnsi"/>
                <w:i/>
                <w:iCs/>
                <w:sz w:val="21"/>
                <w:szCs w:val="21"/>
              </w:rPr>
              <w:t>Jeigu nurodomas kitoks</w:t>
            </w:r>
            <w:r w:rsidR="002F2B17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(nesveikas)</w:t>
            </w:r>
            <w:r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skaičius, tai suapvalinama iki mažesnės </w:t>
            </w:r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sveiko skaičiaus reikšmės, o jeigu nurodoma</w:t>
            </w:r>
            <w:r w:rsidR="002F2B17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s</w:t>
            </w:r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didesn</w:t>
            </w:r>
            <w:r w:rsidR="002F2B17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is</w:t>
            </w:r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nei </w:t>
            </w:r>
            <w:r w:rsidR="00CD79C9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60</w:t>
            </w:r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mėn. </w:t>
            </w:r>
            <w:r w:rsidR="002F2B17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Į</w:t>
            </w:r>
            <w:r w:rsidR="00BE2F03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renginių</w:t>
            </w:r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garantinis terminas – </w:t>
            </w:r>
            <w:bookmarkStart w:id="5" w:name="_Hlk184984340"/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laikoma, kad tiekėjas deklaravo </w:t>
            </w:r>
            <w:r w:rsidR="00CD79C9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60</w:t>
            </w:r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mėn.</w:t>
            </w:r>
            <w:bookmarkEnd w:id="5"/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</w:t>
            </w:r>
            <w:r w:rsidR="002F2B17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Į</w:t>
            </w:r>
            <w:r w:rsidR="00BE2F03" w:rsidRPr="0042245A">
              <w:rPr>
                <w:rFonts w:eastAsia="Calibri" w:cstheme="minorHAnsi"/>
                <w:i/>
                <w:iCs/>
                <w:sz w:val="21"/>
                <w:szCs w:val="21"/>
              </w:rPr>
              <w:t>renginių</w:t>
            </w:r>
            <w:r w:rsidR="00D213B8" w:rsidRPr="0042245A">
              <w:rPr>
                <w:rFonts w:eastAsia="Calibri" w:cstheme="minorHAnsi"/>
                <w:i/>
                <w:iCs/>
                <w:sz w:val="21"/>
                <w:szCs w:val="21"/>
              </w:rPr>
              <w:t xml:space="preserve"> garantinį terminą</w:t>
            </w:r>
            <w:r w:rsidRPr="0042245A">
              <w:rPr>
                <w:rFonts w:eastAsia="Calibri" w:cstheme="minorHAnsi"/>
                <w:i/>
                <w:iCs/>
                <w:sz w:val="21"/>
                <w:szCs w:val="21"/>
              </w:rPr>
              <w:t>)</w:t>
            </w:r>
            <w:r w:rsidR="0042245A">
              <w:rPr>
                <w:rFonts w:eastAsia="Calibri" w:cstheme="minorHAnsi"/>
                <w:i/>
                <w:iCs/>
                <w:sz w:val="21"/>
                <w:szCs w:val="21"/>
              </w:rPr>
              <w:t>.</w:t>
            </w:r>
            <w:r w:rsidRPr="0042245A">
              <w:rPr>
                <w:rFonts w:eastAsia="Calibri" w:cstheme="minorHAnsi"/>
                <w:sz w:val="21"/>
                <w:szCs w:val="21"/>
              </w:rPr>
              <w:t xml:space="preserve">   </w:t>
            </w:r>
          </w:p>
        </w:tc>
      </w:tr>
    </w:tbl>
    <w:p w14:paraId="3AD80FC7" w14:textId="0A871900" w:rsidR="00F035B2" w:rsidRPr="0042245A" w:rsidRDefault="002F2B17" w:rsidP="008A4BE5">
      <w:pPr>
        <w:suppressAutoHyphens/>
        <w:spacing w:after="0" w:line="240" w:lineRule="auto"/>
        <w:ind w:right="282" w:firstLine="709"/>
        <w:jc w:val="both"/>
        <w:rPr>
          <w:rFonts w:eastAsia="Calibri" w:cstheme="minorHAnsi"/>
          <w:bCs/>
          <w:kern w:val="0"/>
          <w:sz w:val="21"/>
          <w:szCs w:val="21"/>
          <w14:ligatures w14:val="none"/>
        </w:rPr>
      </w:pPr>
      <w:r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4. </w:t>
      </w:r>
      <w:bookmarkStart w:id="6" w:name="_Hlk184981526"/>
      <w:r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>Jeigu tiekėjas</w:t>
      </w:r>
      <w:r w:rsidR="00D04BA7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 deklaruoja, kad</w:t>
      </w:r>
      <w:r w:rsidR="00BE2F03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 </w:t>
      </w:r>
      <w:r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>Į</w:t>
      </w:r>
      <w:r w:rsidR="00BE2F03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>renginių</w:t>
      </w:r>
      <w:r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 garantin</w:t>
      </w:r>
      <w:r w:rsidR="00D04BA7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>is</w:t>
      </w:r>
      <w:r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 termin</w:t>
      </w:r>
      <w:r w:rsidR="00D04BA7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>as</w:t>
      </w:r>
      <w:r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 mažiau nei 24 mėn. jo pasiūlymas neatitinka pirkimo dokumentų reikalavimo ir bus atmetamas.</w:t>
      </w:r>
    </w:p>
    <w:p w14:paraId="73882470" w14:textId="6E6F54CB" w:rsidR="00BE2F03" w:rsidRPr="0042245A" w:rsidRDefault="00093839" w:rsidP="008A4BE5">
      <w:pPr>
        <w:spacing w:after="0" w:line="240" w:lineRule="auto"/>
        <w:ind w:right="282" w:firstLine="709"/>
        <w:jc w:val="both"/>
        <w:rPr>
          <w:rFonts w:eastAsia="Times New Roman" w:cstheme="minorHAnsi"/>
          <w:b/>
          <w:bCs/>
          <w:color w:val="C00000"/>
          <w:kern w:val="0"/>
          <w:sz w:val="21"/>
          <w:szCs w:val="21"/>
          <w14:ligatures w14:val="none"/>
        </w:rPr>
      </w:pPr>
      <w:r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>5.</w:t>
      </w:r>
      <w:r w:rsidRPr="0042245A">
        <w:rPr>
          <w:rFonts w:eastAsia="Calibri" w:cstheme="minorHAnsi"/>
          <w:bCs/>
          <w:kern w:val="0"/>
          <w:sz w:val="21"/>
          <w:szCs w:val="21"/>
          <w:u w:val="single"/>
          <w14:ligatures w14:val="none"/>
        </w:rPr>
        <w:t xml:space="preserve">Deklaruojamo kriterijaus </w:t>
      </w:r>
      <w:r w:rsidR="00EE70B5" w:rsidRPr="0042245A">
        <w:rPr>
          <w:rFonts w:eastAsia="Calibri" w:cstheme="minorHAnsi"/>
          <w:bCs/>
          <w:kern w:val="0"/>
          <w:sz w:val="21"/>
          <w:szCs w:val="21"/>
          <w:u w:val="single"/>
          <w14:ligatures w14:val="none"/>
        </w:rPr>
        <w:t>vykdymas</w:t>
      </w:r>
      <w:r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: </w:t>
      </w:r>
      <w:r w:rsidR="00404B5A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>tiekėjas privalės</w:t>
      </w:r>
      <w:r w:rsidR="00FB4A3D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 pateikti garantinių įsipareigojimų įvykdymo užtikrinimą</w:t>
      </w:r>
      <w:r w:rsidR="005050D4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 xml:space="preserve"> pagal sutarties sąlygas</w:t>
      </w:r>
      <w:r w:rsidR="00CD79C9" w:rsidRPr="0042245A">
        <w:rPr>
          <w:rFonts w:eastAsia="Calibri" w:cstheme="minorHAnsi"/>
          <w:bCs/>
          <w:kern w:val="0"/>
          <w:sz w:val="21"/>
          <w:szCs w:val="21"/>
          <w14:ligatures w14:val="none"/>
        </w:rPr>
        <w:t>.</w:t>
      </w:r>
    </w:p>
    <w:p w14:paraId="75A3CF33" w14:textId="48EAD300" w:rsidR="00093839" w:rsidRPr="0042245A" w:rsidRDefault="00093839" w:rsidP="002F2B17">
      <w:pPr>
        <w:suppressAutoHyphens/>
        <w:spacing w:after="0" w:line="240" w:lineRule="auto"/>
        <w:jc w:val="both"/>
        <w:rPr>
          <w:rFonts w:eastAsia="Calibri" w:cstheme="minorHAnsi"/>
          <w:bCs/>
          <w:kern w:val="0"/>
          <w:sz w:val="21"/>
          <w:szCs w:val="21"/>
          <w14:ligatures w14:val="none"/>
        </w:rPr>
      </w:pPr>
    </w:p>
    <w:bookmarkEnd w:id="6"/>
    <w:p w14:paraId="39B9B50D" w14:textId="77777777" w:rsidR="000C4505" w:rsidRPr="0042245A" w:rsidRDefault="000C4505" w:rsidP="00CD79C9">
      <w:pPr>
        <w:suppressAutoHyphens/>
        <w:spacing w:after="0" w:line="240" w:lineRule="auto"/>
        <w:ind w:left="142" w:hanging="142"/>
        <w:jc w:val="both"/>
        <w:rPr>
          <w:rFonts w:eastAsia="Calibri" w:cstheme="minorHAnsi"/>
          <w:b/>
          <w:kern w:val="0"/>
          <w:sz w:val="21"/>
          <w:szCs w:val="21"/>
          <w14:ligatures w14:val="none"/>
        </w:rPr>
      </w:pPr>
    </w:p>
    <w:sectPr w:rsidR="000C4505" w:rsidRPr="0042245A" w:rsidSect="0042245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61EBA"/>
    <w:multiLevelType w:val="hybridMultilevel"/>
    <w:tmpl w:val="315CF0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8654C"/>
    <w:multiLevelType w:val="multilevel"/>
    <w:tmpl w:val="8EBC6746"/>
    <w:lvl w:ilvl="0">
      <w:start w:val="1"/>
      <w:numFmt w:val="decimal"/>
      <w:lvlText w:val="%1."/>
      <w:lvlJc w:val="left"/>
      <w:pPr>
        <w:ind w:left="5889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8256A1"/>
    <w:multiLevelType w:val="hybridMultilevel"/>
    <w:tmpl w:val="11681F52"/>
    <w:lvl w:ilvl="0" w:tplc="CF465E6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69A01FA"/>
    <w:multiLevelType w:val="hybridMultilevel"/>
    <w:tmpl w:val="89422494"/>
    <w:lvl w:ilvl="0" w:tplc="438A8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33713398">
    <w:abstractNumId w:val="1"/>
  </w:num>
  <w:num w:numId="2" w16cid:durableId="1956054703">
    <w:abstractNumId w:val="3"/>
  </w:num>
  <w:num w:numId="3" w16cid:durableId="344941226">
    <w:abstractNumId w:val="2"/>
  </w:num>
  <w:num w:numId="4" w16cid:durableId="83645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D60"/>
    <w:rsid w:val="0001583A"/>
    <w:rsid w:val="00093839"/>
    <w:rsid w:val="000A100D"/>
    <w:rsid w:val="000C4505"/>
    <w:rsid w:val="000C560B"/>
    <w:rsid w:val="000D4BF5"/>
    <w:rsid w:val="0014546E"/>
    <w:rsid w:val="00195132"/>
    <w:rsid w:val="001E56D7"/>
    <w:rsid w:val="00213844"/>
    <w:rsid w:val="002159ED"/>
    <w:rsid w:val="002368AE"/>
    <w:rsid w:val="00256962"/>
    <w:rsid w:val="002F2B17"/>
    <w:rsid w:val="003017BE"/>
    <w:rsid w:val="003D26DE"/>
    <w:rsid w:val="00404B5A"/>
    <w:rsid w:val="0042245A"/>
    <w:rsid w:val="00464AED"/>
    <w:rsid w:val="00492772"/>
    <w:rsid w:val="005050D4"/>
    <w:rsid w:val="00526194"/>
    <w:rsid w:val="0055477C"/>
    <w:rsid w:val="005F1F64"/>
    <w:rsid w:val="00670304"/>
    <w:rsid w:val="006A51AD"/>
    <w:rsid w:val="006D3A45"/>
    <w:rsid w:val="00721088"/>
    <w:rsid w:val="00731401"/>
    <w:rsid w:val="00773FAE"/>
    <w:rsid w:val="007A4334"/>
    <w:rsid w:val="007D0AAD"/>
    <w:rsid w:val="007D7D38"/>
    <w:rsid w:val="007F59BC"/>
    <w:rsid w:val="00836585"/>
    <w:rsid w:val="0089689D"/>
    <w:rsid w:val="008A4BE5"/>
    <w:rsid w:val="008C2FDC"/>
    <w:rsid w:val="008E0275"/>
    <w:rsid w:val="00A06BCE"/>
    <w:rsid w:val="00A90D60"/>
    <w:rsid w:val="00AE231A"/>
    <w:rsid w:val="00AE24F4"/>
    <w:rsid w:val="00B45F61"/>
    <w:rsid w:val="00B64AB0"/>
    <w:rsid w:val="00B7000E"/>
    <w:rsid w:val="00BA53C1"/>
    <w:rsid w:val="00BE2F03"/>
    <w:rsid w:val="00C22662"/>
    <w:rsid w:val="00C42555"/>
    <w:rsid w:val="00C67D4A"/>
    <w:rsid w:val="00C93E63"/>
    <w:rsid w:val="00CB7CC5"/>
    <w:rsid w:val="00CD084B"/>
    <w:rsid w:val="00CD79C9"/>
    <w:rsid w:val="00D04BA7"/>
    <w:rsid w:val="00D165A6"/>
    <w:rsid w:val="00D213B8"/>
    <w:rsid w:val="00D34CA3"/>
    <w:rsid w:val="00DD2B58"/>
    <w:rsid w:val="00E22B44"/>
    <w:rsid w:val="00E33ACD"/>
    <w:rsid w:val="00E57F38"/>
    <w:rsid w:val="00E87020"/>
    <w:rsid w:val="00E91602"/>
    <w:rsid w:val="00EE70B5"/>
    <w:rsid w:val="00F035B2"/>
    <w:rsid w:val="00F04566"/>
    <w:rsid w:val="00F17A1D"/>
    <w:rsid w:val="00F94F4C"/>
    <w:rsid w:val="00FB4A3D"/>
    <w:rsid w:val="00FD1DEC"/>
    <w:rsid w:val="00FF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13CD76"/>
  <w15:chartTrackingRefBased/>
  <w15:docId w15:val="{CE784B6E-8382-47E5-A99B-E0A90C0B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0D6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90D60"/>
    <w:pPr>
      <w:spacing w:after="0" w:line="240" w:lineRule="auto"/>
    </w:pPr>
    <w:rPr>
      <w:kern w:val="0"/>
      <w14:ligatures w14:val="none"/>
    </w:rPr>
  </w:style>
  <w:style w:type="table" w:customStyle="1" w:styleId="Lentelstinklelis2">
    <w:name w:val="Lentelės tinklelis2"/>
    <w:basedOn w:val="TableNormal"/>
    <w:next w:val="TableGrid"/>
    <w:uiPriority w:val="39"/>
    <w:rsid w:val="00A90D6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TableNormal"/>
    <w:next w:val="TableGrid"/>
    <w:rsid w:val="00A90D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A90D60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404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Aristidas Lideikis</dc:creator>
  <cp:keywords/>
  <dc:description/>
  <cp:lastModifiedBy>s.sileikiene@rokom.local</cp:lastModifiedBy>
  <cp:revision>2</cp:revision>
  <dcterms:created xsi:type="dcterms:W3CDTF">2025-03-04T14:09:00Z</dcterms:created>
  <dcterms:modified xsi:type="dcterms:W3CDTF">2025-03-04T14:09:00Z</dcterms:modified>
</cp:coreProperties>
</file>